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7"/>
        <w:ind w:left="1750" w:right="1735" w:firstLine="0"/>
        <w:jc w:val="center"/>
        <w:rPr>
          <w:b/>
          <w:sz w:val="24"/>
        </w:rPr>
        <w:bidi w:val="0"/>
      </w:pPr>
      <w:r>
        <w:rPr>
          <w:color w:val="545459"/>
          <w:sz w:val="24"/>
          <w:lang w:val="es-us"/>
          <w:b w:val="1"/>
          <w:bCs w:val="1"/>
          <w:i w:val="0"/>
          <w:iCs w:val="0"/>
          <w:u w:val="none"/>
          <w:vertAlign w:val="baseline"/>
          <w:rtl w:val="0"/>
        </w:rPr>
        <w:t xml:space="preserve">Westside Regional </w:t>
      </w:r>
      <w:r>
        <w:rPr>
          <w:color w:val="6B6B6E"/>
          <w:sz w:val="24"/>
          <w:lang w:val="es-us"/>
          <w:b w:val="1"/>
          <w:bCs w:val="1"/>
          <w:i w:val="0"/>
          <w:iCs w:val="0"/>
          <w:u w:val="none"/>
          <w:vertAlign w:val="baseline"/>
          <w:rtl w:val="0"/>
        </w:rPr>
        <w:t xml:space="preserve">Center</w:t>
      </w:r>
    </w:p>
    <w:p>
      <w:pPr>
        <w:pStyle w:val="BodyText"/>
        <w:spacing w:before="8"/>
        <w:rPr>
          <w:b/>
        </w:rPr>
      </w:pPr>
    </w:p>
    <w:p>
      <w:pPr>
        <w:spacing w:line="242" w:lineRule="auto" w:before="0"/>
        <w:ind w:left="1750" w:right="1751" w:firstLine="0"/>
        <w:jc w:val="center"/>
        <w:rPr>
          <w:b/>
          <w:sz w:val="24"/>
        </w:rPr>
        <w:bidi w:val="0"/>
      </w:pPr>
      <w:r>
        <w:rPr>
          <w:color w:val="545459"/>
          <w:sz w:val="24"/>
          <w:lang w:val="es-us"/>
          <w:b w:val="1"/>
          <w:bCs w:val="1"/>
          <w:i w:val="0"/>
          <w:iCs w:val="0"/>
          <w:u w:val="none"/>
          <w:vertAlign w:val="baseline"/>
          <w:rtl w:val="0"/>
        </w:rPr>
        <w:t xml:space="preserve">Protocolo de desembolso </w:t>
      </w:r>
      <w:r>
        <w:rPr>
          <w:color w:val="6B6B6E"/>
          <w:sz w:val="24"/>
          <w:lang w:val="es-us"/>
          <w:b w:val="1"/>
          <w:bCs w:val="1"/>
          <w:i w:val="0"/>
          <w:iCs w:val="0"/>
          <w:u w:val="none"/>
          <w:vertAlign w:val="baseline"/>
          <w:rtl w:val="0"/>
        </w:rPr>
        <w:t xml:space="preserve">para financiamiento </w:t>
      </w:r>
      <w:r>
        <w:rPr>
          <w:color w:val="545459"/>
          <w:sz w:val="24"/>
          <w:lang w:val="es-us"/>
          <w:b w:val="1"/>
          <w:bCs w:val="1"/>
          <w:i w:val="0"/>
          <w:iCs w:val="0"/>
          <w:u w:val="none"/>
          <w:vertAlign w:val="baseline"/>
          <w:rtl w:val="0"/>
        </w:rPr>
        <w:t xml:space="preserve">de empresas emergentes y desarrollo</w:t>
      </w:r>
      <w:r>
        <w:rPr>
          <w:color w:val="6B6B6E"/>
          <w:sz w:val="24"/>
          <w:lang w:val="es-us"/>
          <w:b w:val="1"/>
          <w:bCs w:val="1"/>
          <w:i w:val="0"/>
          <w:iCs w:val="0"/>
          <w:u w:val="none"/>
          <w:vertAlign w:val="baseline"/>
          <w:rtl w:val="0"/>
        </w:rPr>
        <w:t xml:space="preserve">utilizando fondos</w:t>
      </w:r>
      <w:r>
        <w:rPr>
          <w:color w:val="545459"/>
          <w:sz w:val="24"/>
          <w:lang w:val="es-us"/>
          <w:b w:val="1"/>
          <w:bCs w:val="1"/>
          <w:i w:val="0"/>
          <w:iCs w:val="0"/>
          <w:u w:val="none"/>
          <w:vertAlign w:val="baseline"/>
          <w:rtl w:val="0"/>
        </w:rPr>
        <w:t xml:space="preserve">para la adquisición </w:t>
      </w:r>
      <w:r>
        <w:rPr>
          <w:color w:val="6B6B6E"/>
          <w:sz w:val="24"/>
          <w:lang w:val="es-us"/>
          <w:b w:val="1"/>
          <w:bCs w:val="1"/>
          <w:i w:val="0"/>
          <w:iCs w:val="0"/>
          <w:u w:val="none"/>
          <w:vertAlign w:val="baseline"/>
          <w:rtl w:val="0"/>
        </w:rPr>
        <w:t xml:space="preserve">de servicios</w:t>
      </w:r>
    </w:p>
    <w:p>
      <w:pPr>
        <w:pStyle w:val="BodyText"/>
        <w:rPr>
          <w:b/>
          <w:sz w:val="26"/>
        </w:rPr>
      </w:pPr>
    </w:p>
    <w:p>
      <w:pPr>
        <w:pStyle w:val="BodyText"/>
        <w:spacing w:before="11"/>
        <w:rPr>
          <w:b/>
          <w:sz w:val="20"/>
        </w:rPr>
      </w:pPr>
    </w:p>
    <w:p>
      <w:pPr>
        <w:pStyle w:val="ListParagraph"/>
        <w:numPr>
          <w:ilvl w:val="0"/>
          <w:numId w:val="1"/>
        </w:numPr>
        <w:tabs>
          <w:tab w:pos="864" w:val="left" w:leader="none"/>
          <w:tab w:pos="865" w:val="left" w:leader="none"/>
        </w:tabs>
        <w:spacing w:line="240" w:lineRule="auto" w:before="0" w:after="0"/>
        <w:ind w:left="864" w:right="0" w:hanging="733"/>
        <w:jc w:val="left"/>
        <w:rPr>
          <w:b/>
          <w:color w:val="6B6B6E"/>
          <w:sz w:val="25"/>
        </w:rPr>
        <w:bidi w:val="0"/>
      </w:pPr>
      <w:r>
        <w:rPr>
          <w:color w:val="6B6B6E"/>
          <w:sz w:val="24"/>
          <w:lang w:val="es-us"/>
          <w:b w:val="1"/>
          <w:bCs w:val="1"/>
          <w:i w:val="0"/>
          <w:iCs w:val="0"/>
          <w:u w:val="none"/>
          <w:vertAlign w:val="baseline"/>
          <w:rtl w:val="0"/>
        </w:rPr>
        <w:t xml:space="preserve">Fecha de vigencia:</w:t>
      </w:r>
      <w:r>
        <w:rPr>
          <w:color w:val="545459"/>
          <w:sz w:val="24"/>
          <w:lang w:val="es-us"/>
          <w:b w:val="1"/>
          <w:bCs w:val="1"/>
          <w:i w:val="0"/>
          <w:iCs w:val="0"/>
          <w:u w:val="none"/>
          <w:vertAlign w:val="baseline"/>
          <w:rtl w:val="0"/>
        </w:rPr>
        <w:t xml:space="preserve"> </w:t>
      </w:r>
      <w:r>
        <w:rPr>
          <w:color w:val="545459"/>
          <w:sz w:val="24"/>
          <w:lang w:val="es-us"/>
          <w:b w:val="1"/>
          <w:bCs w:val="1"/>
          <w:i w:val="0"/>
          <w:iCs w:val="0"/>
          <w:u w:val="none"/>
          <w:vertAlign w:val="baseline"/>
          <w:rtl w:val="0"/>
        </w:rPr>
        <w:t xml:space="preserve">1</w:t>
      </w:r>
      <w:r>
        <w:rPr>
          <w:color w:val="6B6B6E"/>
          <w:sz w:val="24"/>
          <w:lang w:val="es-us"/>
          <w:b w:val="1"/>
          <w:bCs w:val="1"/>
          <w:i w:val="0"/>
          <w:iCs w:val="0"/>
          <w:u w:val="none"/>
          <w:vertAlign w:val="baseline"/>
          <w:rtl w:val="0"/>
        </w:rPr>
        <w:t xml:space="preserve"> de enero </w:t>
      </w:r>
      <w:r>
        <w:rPr>
          <w:color w:val="545459"/>
          <w:sz w:val="24"/>
          <w:lang w:val="es-us"/>
          <w:b w:val="1"/>
          <w:bCs w:val="1"/>
          <w:i w:val="0"/>
          <w:iCs w:val="0"/>
          <w:u w:val="none"/>
          <w:vertAlign w:val="baseline"/>
          <w:rtl w:val="0"/>
        </w:rPr>
        <w:t xml:space="preserve">de 2011</w:t>
      </w:r>
    </w:p>
    <w:p>
      <w:pPr>
        <w:pStyle w:val="BodyText"/>
        <w:spacing w:before="5"/>
        <w:rPr>
          <w:b/>
        </w:rPr>
      </w:pPr>
    </w:p>
    <w:p>
      <w:pPr>
        <w:pStyle w:val="ListParagraph"/>
        <w:numPr>
          <w:ilvl w:val="0"/>
          <w:numId w:val="1"/>
        </w:numPr>
        <w:tabs>
          <w:tab w:pos="874" w:val="left" w:leader="none"/>
          <w:tab w:pos="875" w:val="left" w:leader="none"/>
        </w:tabs>
        <w:spacing w:line="240" w:lineRule="auto" w:before="1" w:after="0"/>
        <w:ind w:left="874" w:right="0" w:hanging="742"/>
        <w:jc w:val="left"/>
        <w:rPr>
          <w:b/>
          <w:color w:val="6B6B6E"/>
          <w:sz w:val="24"/>
        </w:rPr>
        <w:bidi w:val="0"/>
      </w:pPr>
      <w:r>
        <w:rPr>
          <w:color w:val="545459"/>
          <w:sz w:val="24"/>
          <w:lang w:val="es-us"/>
          <w:b w:val="1"/>
          <w:bCs w:val="1"/>
          <w:i w:val="0"/>
          <w:iCs w:val="0"/>
          <w:u w:val="none"/>
          <w:vertAlign w:val="baseline"/>
          <w:rtl w:val="0"/>
        </w:rPr>
        <w:t xml:space="preserve">Asunto:</w:t>
      </w:r>
    </w:p>
    <w:p>
      <w:pPr>
        <w:pStyle w:val="BodyText"/>
        <w:spacing w:before="5"/>
        <w:rPr>
          <w:b/>
          <w:sz w:val="24"/>
        </w:rPr>
      </w:pPr>
    </w:p>
    <w:p>
      <w:pPr>
        <w:pStyle w:val="BodyText"/>
        <w:spacing w:line="249" w:lineRule="auto" w:before="1"/>
        <w:ind w:left="861" w:right="123" w:firstLine="1"/>
        <w:jc w:val="both"/>
        <w:bidi w:val="0"/>
      </w:pPr>
      <w:r>
        <w:rPr>
          <w:color w:val="6B6B6E"/>
          <w:lang w:val="es-us"/>
          <w:b w:val="0"/>
          <w:bCs w:val="0"/>
          <w:i w:val="0"/>
          <w:iCs w:val="0"/>
          <w:u w:val="none"/>
          <w:vertAlign w:val="baseline"/>
          <w:rtl w:val="0"/>
        </w:rPr>
        <w:t xml:space="preserve">El contrato de WRC con</w:t>
      </w:r>
      <w:r>
        <w:rPr>
          <w:color w:val="545459"/>
          <w:lang w:val="es-us"/>
          <w:b w:val="0"/>
          <w:bCs w:val="0"/>
          <w:i w:val="0"/>
          <w:iCs w:val="0"/>
          <w:u w:val="none"/>
          <w:vertAlign w:val="baseline"/>
          <w:rtl w:val="0"/>
        </w:rPr>
        <w:t xml:space="preserve">el</w:t>
      </w:r>
      <w:r>
        <w:rPr>
          <w:color w:val="6B6B6E"/>
          <w:lang w:val="es-us"/>
          <w:b w:val="0"/>
          <w:bCs w:val="0"/>
          <w:i w:val="0"/>
          <w:iCs w:val="0"/>
          <w:u w:val="none"/>
          <w:vertAlign w:val="baseline"/>
          <w:rtl w:val="0"/>
        </w:rPr>
        <w:t xml:space="preserve">Departamento de</w:t>
      </w:r>
      <w:r>
        <w:rPr>
          <w:color w:val="545459"/>
          <w:lang w:val="es-us"/>
          <w:b w:val="0"/>
          <w:bCs w:val="0"/>
          <w:i w:val="0"/>
          <w:iCs w:val="0"/>
          <w:u w:val="none"/>
          <w:vertAlign w:val="baseline"/>
          <w:rtl w:val="0"/>
        </w:rPr>
        <w:t xml:space="preserve">Servicios de </w:t>
      </w:r>
      <w:r>
        <w:rPr>
          <w:color w:val="6B6B6E"/>
          <w:lang w:val="es-us"/>
          <w:b w:val="0"/>
          <w:bCs w:val="0"/>
          <w:i w:val="0"/>
          <w:iCs w:val="0"/>
          <w:u w:val="none"/>
          <w:vertAlign w:val="baseline"/>
          <w:rtl w:val="0"/>
        </w:rPr>
        <w:t xml:space="preserve">Desarrollo (DDS) incluye </w:t>
      </w:r>
      <w:r>
        <w:rPr>
          <w:color w:val="87878C"/>
          <w:lang w:val="es-us"/>
          <w:b w:val="0"/>
          <w:bCs w:val="0"/>
          <w:i w:val="0"/>
          <w:iCs w:val="0"/>
          <w:u w:val="none"/>
          <w:vertAlign w:val="baseline"/>
          <w:rtl w:val="0"/>
        </w:rPr>
        <w:t xml:space="preserve">una</w:t>
      </w:r>
      <w:r>
        <w:rPr>
          <w:color w:val="6B6B6E"/>
          <w:lang w:val="es-us"/>
          <w:b w:val="0"/>
          <w:bCs w:val="0"/>
          <w:i w:val="0"/>
          <w:iCs w:val="0"/>
          <w:u w:val="none"/>
          <w:vertAlign w:val="baseline"/>
          <w:rtl w:val="0"/>
        </w:rPr>
        <w:t xml:space="preserve"> disposición</w:t>
      </w:r>
      <w:r>
        <w:rPr>
          <w:color w:val="87878C"/>
          <w:lang w:val="es-us"/>
          <w:b w:val="0"/>
          <w:bCs w:val="0"/>
          <w:i w:val="0"/>
          <w:iCs w:val="0"/>
          <w:u w:val="none"/>
          <w:vertAlign w:val="baseline"/>
          <w:rtl w:val="0"/>
        </w:rPr>
        <w:t xml:space="preserve">, </w:t>
      </w:r>
      <w:r>
        <w:rPr>
          <w:color w:val="6B6B6E"/>
          <w:lang w:val="es-us"/>
          <w:b w:val="0"/>
          <w:bCs w:val="0"/>
          <w:i w:val="0"/>
          <w:iCs w:val="0"/>
          <w:u w:val="none"/>
          <w:vertAlign w:val="baseline"/>
          <w:rtl w:val="0"/>
        </w:rPr>
        <w:t xml:space="preserve">según el Artículo II.</w:t>
      </w:r>
      <w:r>
        <w:rPr>
          <w:color w:val="545459"/>
          <w:lang w:val="es-us"/>
          <w:b w:val="0"/>
          <w:bCs w:val="0"/>
          <w:i w:val="0"/>
          <w:iCs w:val="0"/>
          <w:u w:val="none"/>
          <w:vertAlign w:val="baseline"/>
          <w:rtl w:val="0"/>
        </w:rPr>
        <w:t xml:space="preserve">Disposiciones de programas, </w:t>
      </w:r>
      <w:r>
        <w:rPr>
          <w:color w:val="6B6B6E"/>
          <w:lang w:val="es-us"/>
          <w:b w:val="0"/>
          <w:bCs w:val="0"/>
          <w:i w:val="0"/>
          <w:iCs w:val="0"/>
          <w:u w:val="none"/>
          <w:vertAlign w:val="baseline"/>
          <w:rtl w:val="0"/>
        </w:rPr>
        <w:t xml:space="preserve">(2) Desarrollo de recursos, que los centros </w:t>
      </w:r>
      <w:r>
        <w:rPr>
          <w:color w:val="545459"/>
          <w:lang w:val="es-us"/>
          <w:b w:val="0"/>
          <w:bCs w:val="0"/>
          <w:i w:val="0"/>
          <w:iCs w:val="0"/>
          <w:u w:val="none"/>
          <w:vertAlign w:val="baseline"/>
          <w:rtl w:val="0"/>
        </w:rPr>
        <w:t xml:space="preserve">regionales pueden</w:t>
      </w:r>
      <w:r>
        <w:rPr>
          <w:color w:val="6B6B6E"/>
          <w:lang w:val="es-us"/>
          <w:b w:val="0"/>
          <w:bCs w:val="0"/>
          <w:i w:val="0"/>
          <w:iCs w:val="0"/>
          <w:u w:val="none"/>
          <w:vertAlign w:val="baseline"/>
          <w:rtl w:val="0"/>
        </w:rPr>
        <w:t xml:space="preserve"> optar para usar fondos para la adquisición de servicios (POS) para el desarrollo de programas nu</w:t>
      </w:r>
      <w:r>
        <w:rPr>
          <w:color w:val="87878C"/>
          <w:lang w:val="es-us"/>
          <w:b w:val="0"/>
          <w:bCs w:val="0"/>
          <w:i w:val="0"/>
          <w:iCs w:val="0"/>
          <w:u w:val="none"/>
          <w:vertAlign w:val="baseline"/>
          <w:rtl w:val="0"/>
        </w:rPr>
        <w:t xml:space="preserve">evos.</w:t>
      </w:r>
      <w:r>
        <w:rPr>
          <w:color w:val="6B6B6E"/>
          <w:lang w:val="es-us"/>
          <w:b w:val="0"/>
          <w:bCs w:val="0"/>
          <w:i w:val="0"/>
          <w:iCs w:val="0"/>
          <w:u w:val="none"/>
          <w:vertAlign w:val="baseline"/>
          <w:rtl w:val="0"/>
        </w:rPr>
        <w:t xml:space="preserve"> El contrato exige que el centro regional elabore y mantenga una política escrita para el desembolso de dinero para empresas emergentes y envíe una copia de la política al DDS una vez que dicha política haya sido aprobada por la junta directiva del contratista. Esta política se ha elaborado de acuerdo con los requisitos del contrato actual entre WRC y el DDS y se enviará al DDS.</w:t>
      </w:r>
    </w:p>
    <w:p>
      <w:pPr>
        <w:pStyle w:val="BodyText"/>
        <w:spacing w:before="5"/>
        <w:rPr>
          <w:sz w:val="26"/>
        </w:rPr>
      </w:pPr>
    </w:p>
    <w:p>
      <w:pPr>
        <w:tabs>
          <w:tab w:pos="873" w:val="left" w:leader="none"/>
        </w:tabs>
        <w:spacing w:line="225" w:lineRule="auto" w:before="0"/>
        <w:ind w:left="869" w:right="117" w:hanging="740"/>
        <w:jc w:val="left"/>
        <w:rPr>
          <w:b/>
          <w:sz w:val="24"/>
        </w:rPr>
        <w:bidi w:val="0"/>
      </w:pPr>
      <w:r>
        <w:rPr>
          <w:lang w:val="es-us"/>
          <w:b w:val="1"/>
          <w:bCs w:val="1"/>
          <w:i w:val="0"/>
          <w:iCs w:val="0"/>
          <w:u w:val="none"/>
          <w:vertAlign w:val="baseline"/>
          <w:rtl w:val="0"/>
        </w:rPr>
        <w:t xml:space="preserve">III. Procedimientos/directrices para los criterios de consideración del financiamiento de empresas emergentes y desarrollo de servicios:</w:t>
      </w:r>
    </w:p>
    <w:p>
      <w:pPr>
        <w:pStyle w:val="BodyText"/>
        <w:spacing w:before="8"/>
        <w:rPr>
          <w:b/>
          <w:sz w:val="25"/>
        </w:rPr>
      </w:pPr>
    </w:p>
    <w:p>
      <w:pPr>
        <w:pStyle w:val="ListParagraph"/>
        <w:numPr>
          <w:ilvl w:val="1"/>
          <w:numId w:val="1"/>
        </w:numPr>
        <w:tabs>
          <w:tab w:pos="1594" w:val="left" w:leader="none"/>
          <w:tab w:pos="1595" w:val="left" w:leader="none"/>
        </w:tabs>
        <w:spacing w:line="244" w:lineRule="auto" w:before="0" w:after="0"/>
        <w:ind w:left="1592" w:right="125" w:hanging="722"/>
        <w:jc w:val="left"/>
        <w:rPr>
          <w:color w:val="6B6B6E"/>
          <w:sz w:val="23"/>
        </w:rPr>
        <w:bidi w:val="0"/>
      </w:pPr>
      <w:r>
        <w:rPr>
          <w:color w:val="6B6B6E"/>
          <w:sz w:val="23"/>
          <w:lang w:val="es-us"/>
          <w:b w:val="0"/>
          <w:bCs w:val="0"/>
          <w:i w:val="0"/>
          <w:iCs w:val="0"/>
          <w:u w:val="none"/>
          <w:vertAlign w:val="baseline"/>
          <w:rtl w:val="0"/>
        </w:rPr>
        <w:t xml:space="preserve">El director ejecutivo del centro regional deberá aprobar la decisión de utilizar los fondos de POS para empresas emergentes antes del anuncio de disponibilidad del financiamiento.</w:t>
      </w:r>
    </w:p>
    <w:p>
      <w:pPr>
        <w:pStyle w:val="ListParagraph"/>
        <w:numPr>
          <w:ilvl w:val="1"/>
          <w:numId w:val="1"/>
        </w:numPr>
        <w:tabs>
          <w:tab w:pos="1592" w:val="left" w:leader="none"/>
          <w:tab w:pos="1594" w:val="left" w:leader="none"/>
        </w:tabs>
        <w:spacing w:line="254" w:lineRule="auto" w:before="9" w:after="0"/>
        <w:ind w:left="1593" w:right="134" w:hanging="714"/>
        <w:jc w:val="left"/>
        <w:rPr>
          <w:color w:val="6B6B6E"/>
          <w:sz w:val="23"/>
        </w:rPr>
        <w:bidi w:val="0"/>
      </w:pPr>
      <w:r>
        <w:rPr>
          <w:color w:val="6B6B6E"/>
          <w:sz w:val="23"/>
          <w:lang w:val="es-us"/>
          <w:b w:val="0"/>
          <w:bCs w:val="0"/>
          <w:i w:val="0"/>
          <w:iCs w:val="0"/>
          <w:u w:val="none"/>
          <w:vertAlign w:val="baseline"/>
          <w:rtl w:val="0"/>
        </w:rPr>
        <w:t xml:space="preserve">Los criterios para cada ronda específica de solicitudes se basarán en las necesidades individuales y serán aprobados por el director ejecutivo.</w:t>
      </w:r>
    </w:p>
    <w:p>
      <w:pPr>
        <w:pStyle w:val="ListParagraph"/>
        <w:numPr>
          <w:ilvl w:val="1"/>
          <w:numId w:val="1"/>
        </w:numPr>
        <w:tabs>
          <w:tab w:pos="1599" w:val="left" w:leader="none"/>
          <w:tab w:pos="1600" w:val="left" w:leader="none"/>
        </w:tabs>
        <w:spacing w:line="262" w:lineRule="exact" w:before="0" w:after="0"/>
        <w:ind w:left="1599" w:right="0" w:hanging="729"/>
        <w:jc w:val="left"/>
        <w:rPr>
          <w:color w:val="6B6B6E"/>
          <w:sz w:val="23"/>
        </w:rPr>
        <w:bidi w:val="0"/>
      </w:pPr>
      <w:r>
        <w:rPr>
          <w:color w:val="6B6B6E"/>
          <w:sz w:val="23"/>
          <w:lang w:val="es-us"/>
          <w:b w:val="0"/>
          <w:bCs w:val="0"/>
          <w:i w:val="0"/>
          <w:iCs w:val="0"/>
          <w:u w:val="none"/>
          <w:vertAlign w:val="baseline"/>
          <w:rtl w:val="0"/>
        </w:rPr>
        <w:t xml:space="preserve">Los solicitantes deben contar con pericia y experiencia en servicios relacionados.</w:t>
      </w:r>
    </w:p>
    <w:p>
      <w:pPr>
        <w:pStyle w:val="ListParagraph"/>
        <w:numPr>
          <w:ilvl w:val="1"/>
          <w:numId w:val="1"/>
        </w:numPr>
        <w:tabs>
          <w:tab w:pos="1599" w:val="left" w:leader="none"/>
          <w:tab w:pos="1600" w:val="left" w:leader="none"/>
        </w:tabs>
        <w:spacing w:line="240" w:lineRule="auto" w:before="5" w:after="0"/>
        <w:ind w:left="1599" w:right="0" w:hanging="729"/>
        <w:jc w:val="left"/>
        <w:rPr>
          <w:color w:val="6B6B6E"/>
          <w:sz w:val="23"/>
        </w:rPr>
        <w:bidi w:val="0"/>
      </w:pPr>
      <w:r>
        <w:rPr>
          <w:color w:val="6B6B6E"/>
          <w:sz w:val="23"/>
          <w:lang w:val="es-us"/>
          <w:b w:val="0"/>
          <w:bCs w:val="0"/>
          <w:i w:val="0"/>
          <w:iCs w:val="0"/>
          <w:u w:val="none"/>
          <w:vertAlign w:val="baseline"/>
          <w:rtl w:val="0"/>
        </w:rPr>
        <w:t xml:space="preserve">Los solicitantes deben demostrar estabilidad y responsabilidad impositiva.</w:t>
      </w:r>
    </w:p>
    <w:p>
      <w:pPr>
        <w:pStyle w:val="ListParagraph"/>
        <w:numPr>
          <w:ilvl w:val="1"/>
          <w:numId w:val="1"/>
        </w:numPr>
        <w:tabs>
          <w:tab w:pos="1596" w:val="left" w:leader="none"/>
          <w:tab w:pos="1597" w:val="left" w:leader="none"/>
        </w:tabs>
        <w:spacing w:line="240" w:lineRule="auto" w:before="14" w:after="0"/>
        <w:ind w:left="1596" w:right="0" w:hanging="727"/>
        <w:jc w:val="left"/>
        <w:rPr>
          <w:color w:val="6B6B6E"/>
          <w:sz w:val="23"/>
        </w:rPr>
        <w:bidi w:val="0"/>
      </w:pPr>
      <w:r>
        <w:rPr>
          <w:color w:val="6B6B6E"/>
          <w:sz w:val="23"/>
          <w:lang w:val="es-us"/>
          <w:b w:val="0"/>
          <w:bCs w:val="0"/>
          <w:i w:val="0"/>
          <w:iCs w:val="0"/>
          <w:u w:val="none"/>
          <w:vertAlign w:val="baseline"/>
          <w:rtl w:val="0"/>
        </w:rPr>
        <w:t xml:space="preserve">Los costos de las empresas emergentes deben ser razonables, necesarios y no poder obtenerse de otras fuentes.</w:t>
      </w:r>
    </w:p>
    <w:p>
      <w:pPr>
        <w:pStyle w:val="ListParagraph"/>
        <w:numPr>
          <w:ilvl w:val="1"/>
          <w:numId w:val="1"/>
        </w:numPr>
        <w:tabs>
          <w:tab w:pos="1607" w:val="left" w:leader="none"/>
          <w:tab w:pos="1608" w:val="left" w:leader="none"/>
        </w:tabs>
        <w:spacing w:line="240" w:lineRule="auto" w:before="6" w:after="0"/>
        <w:ind w:left="1607" w:right="0" w:hanging="738"/>
        <w:jc w:val="left"/>
        <w:rPr>
          <w:color w:val="6B6B6E"/>
          <w:sz w:val="24"/>
        </w:rPr>
        <w:bidi w:val="0"/>
      </w:pPr>
      <w:r>
        <w:rPr>
          <w:color w:val="6B6B6E"/>
          <w:sz w:val="23"/>
          <w:lang w:val="es-us"/>
          <w:b w:val="0"/>
          <w:bCs w:val="0"/>
          <w:i w:val="0"/>
          <w:iCs w:val="0"/>
          <w:u w:val="none"/>
          <w:vertAlign w:val="baseline"/>
          <w:rtl w:val="0"/>
        </w:rPr>
        <w:t xml:space="preserve">Las propuestas pueden incluir la parte del costo del solicitante.</w:t>
      </w:r>
    </w:p>
    <w:p>
      <w:pPr>
        <w:pStyle w:val="ListParagraph"/>
        <w:numPr>
          <w:ilvl w:val="1"/>
          <w:numId w:val="1"/>
        </w:numPr>
        <w:tabs>
          <w:tab w:pos="1603" w:val="left" w:leader="none"/>
          <w:tab w:pos="1604" w:val="left" w:leader="none"/>
        </w:tabs>
        <w:spacing w:line="240" w:lineRule="auto" w:before="12" w:after="0"/>
        <w:ind w:left="1603" w:right="0" w:hanging="732"/>
        <w:jc w:val="left"/>
        <w:rPr>
          <w:color w:val="6B6B6E"/>
          <w:sz w:val="23"/>
        </w:rPr>
        <w:bidi w:val="0"/>
      </w:pPr>
      <w:r>
        <w:rPr>
          <w:lang w:val="es-us"/>
          <w:b w:val="0"/>
          <w:bCs w:val="0"/>
          <w:i w:val="0"/>
          <w:iCs w:val="0"/>
          <w:u w:val="none"/>
          <w:vertAlign w:val="baseline"/>
          <w:rtl w:val="0"/>
        </w:rPr>
        <w:t xml:space="preserve">Los costos continuos de POS tras la creación de la empresa emergente no deben exceder los costos típicos de servicios similares.</w:t>
      </w:r>
    </w:p>
    <w:p>
      <w:pPr>
        <w:pStyle w:val="BodyText"/>
        <w:spacing w:before="10"/>
      </w:pPr>
    </w:p>
    <w:p>
      <w:pPr>
        <w:pStyle w:val="ListParagraph"/>
        <w:numPr>
          <w:ilvl w:val="0"/>
          <w:numId w:val="2"/>
        </w:numPr>
        <w:tabs>
          <w:tab w:pos="873" w:val="left" w:leader="none"/>
          <w:tab w:pos="874" w:val="left" w:leader="none"/>
        </w:tabs>
        <w:spacing w:line="240" w:lineRule="auto" w:before="0" w:after="0"/>
        <w:ind w:left="873" w:right="0" w:hanging="741"/>
        <w:jc w:val="left"/>
        <w:rPr>
          <w:b/>
          <w:color w:val="6B6B6E"/>
          <w:sz w:val="24"/>
        </w:rPr>
        <w:bidi w:val="0"/>
      </w:pPr>
      <w:r>
        <w:rPr>
          <w:lang w:val="es-us"/>
          <w:b w:val="1"/>
          <w:bCs w:val="1"/>
          <w:i w:val="0"/>
          <w:iCs w:val="0"/>
          <w:u w:val="none"/>
          <w:vertAlign w:val="baseline"/>
          <w:rtl w:val="0"/>
        </w:rPr>
        <w:t xml:space="preserve">Anuncio y evaluación de propuestas:</w:t>
      </w:r>
    </w:p>
    <w:p>
      <w:pPr>
        <w:pStyle w:val="BodyText"/>
        <w:spacing w:before="8"/>
        <w:rPr>
          <w:b/>
        </w:rPr>
      </w:pPr>
    </w:p>
    <w:p>
      <w:pPr>
        <w:pStyle w:val="ListParagraph"/>
        <w:numPr>
          <w:ilvl w:val="1"/>
          <w:numId w:val="2"/>
        </w:numPr>
        <w:tabs>
          <w:tab w:pos="1596" w:val="left" w:leader="none"/>
        </w:tabs>
        <w:spacing w:line="252" w:lineRule="auto" w:before="0" w:after="0"/>
        <w:ind w:left="1599" w:right="126" w:hanging="729"/>
        <w:jc w:val="both"/>
        <w:rPr>
          <w:color w:val="6B6B6E"/>
          <w:sz w:val="23"/>
        </w:rPr>
        <w:bidi w:val="0"/>
      </w:pPr>
      <w:r>
        <w:rPr>
          <w:lang w:val="es-us"/>
          <w:b w:val="0"/>
          <w:bCs w:val="0"/>
          <w:i w:val="0"/>
          <w:iCs w:val="0"/>
          <w:u w:val="none"/>
          <w:vertAlign w:val="baseline"/>
          <w:rtl w:val="0"/>
        </w:rPr>
        <w:t xml:space="preserve">Si se obtiene el financiamiento para la empresa emergente, se hará un anuncio general al Comité de Asesoramiento de Proveedores de WRC con información de seguimiento por escrito para la comunidad.</w:t>
      </w:r>
    </w:p>
    <w:p>
      <w:pPr>
        <w:pStyle w:val="ListParagraph"/>
        <w:numPr>
          <w:ilvl w:val="1"/>
          <w:numId w:val="2"/>
        </w:numPr>
        <w:tabs>
          <w:tab w:pos="1595" w:val="left" w:leader="none"/>
        </w:tabs>
        <w:spacing w:line="244" w:lineRule="auto" w:before="0" w:after="0"/>
        <w:ind w:left="1599" w:right="147" w:hanging="720"/>
        <w:jc w:val="both"/>
        <w:rPr>
          <w:color w:val="6B6B6E"/>
          <w:sz w:val="23"/>
        </w:rPr>
        <w:bidi w:val="0"/>
      </w:pPr>
      <w:r>
        <w:rPr>
          <w:lang w:val="es-us"/>
          <w:b w:val="0"/>
          <w:bCs w:val="0"/>
          <w:i w:val="0"/>
          <w:iCs w:val="0"/>
          <w:u w:val="none"/>
          <w:vertAlign w:val="baseline"/>
          <w:rtl w:val="0"/>
        </w:rPr>
        <w:t xml:space="preserve">El anuncio escrito incluirá información sobre los requisitos de solicitud, los criterios de selección y los plazos para las solicitudes.</w:t>
      </w:r>
    </w:p>
    <w:p>
      <w:pPr>
        <w:pStyle w:val="ListParagraph"/>
        <w:numPr>
          <w:ilvl w:val="1"/>
          <w:numId w:val="2"/>
        </w:numPr>
        <w:tabs>
          <w:tab w:pos="1595" w:val="left" w:leader="none"/>
        </w:tabs>
        <w:spacing w:line="249" w:lineRule="auto" w:before="9" w:after="0"/>
        <w:ind w:left="1602" w:right="140" w:hanging="732"/>
        <w:jc w:val="both"/>
        <w:rPr>
          <w:color w:val="6B6B6E"/>
          <w:sz w:val="23"/>
        </w:rPr>
        <w:bidi w:val="0"/>
      </w:pPr>
      <w:r>
        <w:rPr>
          <w:color w:val="6B6B6E"/>
          <w:sz w:val="23"/>
          <w:lang w:val="es-us"/>
          <w:b w:val="0"/>
          <w:bCs w:val="0"/>
          <w:i w:val="0"/>
          <w:iCs w:val="0"/>
          <w:u w:val="none"/>
          <w:vertAlign w:val="baseline"/>
          <w:rtl w:val="0"/>
        </w:rPr>
        <w:t xml:space="preserve">El personal de servicios comunitarios de WRC coordinará la evaluación. Se pueden incluir otras personas, incluidas personas con discapacidades de desarrollo, profesionales y miembros de la comunidad, en el proceso en función del alcance y el contenido de la propuesta.</w:t>
      </w:r>
    </w:p>
    <w:p>
      <w:pPr>
        <w:pStyle w:val="ListParagraph"/>
        <w:numPr>
          <w:ilvl w:val="1"/>
          <w:numId w:val="2"/>
        </w:numPr>
        <w:tabs>
          <w:tab w:pos="1595" w:val="left" w:leader="none"/>
        </w:tabs>
        <w:spacing w:line="235" w:lineRule="auto" w:before="11" w:after="0"/>
        <w:ind w:left="1608" w:right="140" w:hanging="737"/>
        <w:jc w:val="both"/>
        <w:rPr>
          <w:color w:val="6B6B6E"/>
          <w:sz w:val="23"/>
        </w:rPr>
        <w:bidi w:val="0"/>
      </w:pPr>
      <w:r>
        <w:rPr>
          <w:color w:val="6B6B6E"/>
          <w:sz w:val="23"/>
          <w:lang w:val="es-us"/>
          <w:b w:val="0"/>
          <w:bCs w:val="0"/>
          <w:i w:val="0"/>
          <w:iCs w:val="0"/>
          <w:u w:val="none"/>
          <w:vertAlign w:val="baseline"/>
          <w:rtl w:val="0"/>
        </w:rPr>
        <w:t xml:space="preserve">El director ejecutivo aprobará el financiamiento final de todas las propuestas. La decisión del director de WRC es la decisión final.</w:t>
      </w:r>
    </w:p>
    <w:p>
      <w:pPr>
        <w:spacing w:after="0" w:line="235" w:lineRule="auto"/>
        <w:jc w:val="both"/>
        <w:rPr>
          <w:sz w:val="23"/>
        </w:rPr>
        <w:sectPr>
          <w:footerReference w:type="default" r:id="rId5"/>
          <w:type w:val="continuous"/>
          <w:pgSz w:w="12240" w:h="15840"/>
          <w:pgMar w:footer="1757" w:header="0" w:top="1460" w:bottom="1940" w:left="960" w:right="940"/>
          <w:pgNumType w:start="1"/>
        </w:sectPr>
      </w:pPr>
    </w:p>
    <w:p>
      <w:pPr>
        <w:pStyle w:val="ListParagraph"/>
        <w:numPr>
          <w:ilvl w:val="1"/>
          <w:numId w:val="2"/>
        </w:numPr>
        <w:tabs>
          <w:tab w:pos="1591" w:val="left" w:leader="none"/>
        </w:tabs>
        <w:spacing w:line="240" w:lineRule="auto" w:before="73" w:after="0"/>
        <w:ind w:left="1590" w:right="0" w:hanging="740"/>
        <w:jc w:val="both"/>
        <w:rPr>
          <w:color w:val="67676B"/>
          <w:sz w:val="23"/>
        </w:rPr>
        <w:bidi w:val="0"/>
      </w:pPr>
      <w:r>
        <w:rPr>
          <w:lang w:val="es-us"/>
          <w:b w:val="0"/>
          <w:bCs w:val="0"/>
          <w:i w:val="0"/>
          <w:iCs w:val="0"/>
          <w:u w:val="none"/>
          <w:vertAlign w:val="baseline"/>
          <w:rtl w:val="0"/>
        </w:rPr>
        <w:t xml:space="preserve">Todos los solicitantes recibirán una notificación con la decisión de WRC sobre su propuesta.</w:t>
      </w:r>
    </w:p>
    <w:p>
      <w:pPr>
        <w:pStyle w:val="ListParagraph"/>
        <w:numPr>
          <w:ilvl w:val="1"/>
          <w:numId w:val="2"/>
        </w:numPr>
        <w:tabs>
          <w:tab w:pos="1588" w:val="left" w:leader="none"/>
          <w:tab w:pos="1589" w:val="left" w:leader="none"/>
        </w:tabs>
        <w:spacing w:line="252" w:lineRule="auto" w:before="15" w:after="0"/>
        <w:ind w:left="1583" w:right="162" w:hanging="742"/>
        <w:jc w:val="both"/>
        <w:rPr>
          <w:color w:val="67676B"/>
          <w:sz w:val="23"/>
        </w:rPr>
        <w:bidi w:val="0"/>
      </w:pPr>
      <w:r>
        <w:rPr>
          <w:color w:val="67676B"/>
          <w:sz w:val="23"/>
          <w:lang w:val="es-us"/>
          <w:b w:val="0"/>
          <w:bCs w:val="0"/>
          <w:i w:val="0"/>
          <w:iCs w:val="0"/>
          <w:u w:val="none"/>
          <w:vertAlign w:val="baseline"/>
          <w:rtl w:val="0"/>
        </w:rPr>
        <w:t xml:space="preserve">WRC se reserva el derecho a solicitar o negociar cambios en una propuesta, aceptar toda o parte de una propuesta, o rechazar cualquier propuesta o todas.</w:t>
      </w:r>
    </w:p>
    <w:p>
      <w:pPr>
        <w:pStyle w:val="BodyText"/>
        <w:spacing w:before="6"/>
      </w:pPr>
    </w:p>
    <w:p>
      <w:pPr>
        <w:pStyle w:val="ListParagraph"/>
        <w:numPr>
          <w:ilvl w:val="0"/>
          <w:numId w:val="2"/>
        </w:numPr>
        <w:tabs>
          <w:tab w:pos="853" w:val="left" w:leader="none"/>
          <w:tab w:pos="855" w:val="left" w:leader="none"/>
        </w:tabs>
        <w:spacing w:line="240" w:lineRule="auto" w:before="1" w:after="0"/>
        <w:ind w:left="854" w:right="0" w:hanging="739"/>
        <w:jc w:val="left"/>
        <w:rPr>
          <w:b/>
          <w:color w:val="67676B"/>
          <w:sz w:val="24"/>
        </w:rPr>
        <w:bidi w:val="0"/>
      </w:pPr>
      <w:r>
        <w:rPr>
          <w:lang w:val="es-us"/>
          <w:b w:val="1"/>
          <w:bCs w:val="1"/>
          <w:i w:val="0"/>
          <w:iCs w:val="0"/>
          <w:u w:val="none"/>
          <w:vertAlign w:val="baseline"/>
          <w:rtl w:val="0"/>
        </w:rPr>
        <w:t xml:space="preserve">Directrices de evaluación de propuestas:</w:t>
      </w:r>
    </w:p>
    <w:p>
      <w:pPr>
        <w:pStyle w:val="BodyText"/>
        <w:spacing w:before="5"/>
        <w:rPr>
          <w:b/>
          <w:sz w:val="24"/>
        </w:rPr>
      </w:pPr>
    </w:p>
    <w:p>
      <w:pPr>
        <w:pStyle w:val="ListParagraph"/>
        <w:numPr>
          <w:ilvl w:val="1"/>
          <w:numId w:val="2"/>
        </w:numPr>
        <w:tabs>
          <w:tab w:pos="1589" w:val="left" w:leader="none"/>
        </w:tabs>
        <w:spacing w:line="249" w:lineRule="auto" w:before="1" w:after="0"/>
        <w:ind w:left="1580" w:right="140" w:hanging="739"/>
        <w:jc w:val="both"/>
        <w:rPr>
          <w:color w:val="67676B"/>
          <w:sz w:val="23"/>
        </w:rPr>
        <w:bidi w:val="0"/>
      </w:pPr>
      <w:r>
        <w:rPr>
          <w:color w:val="67676B"/>
          <w:sz w:val="23"/>
          <w:lang w:val="es-us"/>
          <w:b w:val="0"/>
          <w:bCs w:val="0"/>
          <w:i w:val="0"/>
          <w:iCs w:val="0"/>
          <w:u w:val="none"/>
          <w:vertAlign w:val="baseline"/>
          <w:rtl w:val="0"/>
        </w:rPr>
        <w:t xml:space="preserve">En la propuesta, ¿se desarrollará un servicio nuevo necesario, aumentará la cantidad de personas admitidas en un servicio existente necesario o mejorará la calidad y la seguridad de un servicio necesario?</w:t>
      </w:r>
    </w:p>
    <w:p>
      <w:pPr>
        <w:pStyle w:val="ListParagraph"/>
        <w:numPr>
          <w:ilvl w:val="1"/>
          <w:numId w:val="2"/>
        </w:numPr>
        <w:tabs>
          <w:tab w:pos="1589" w:val="left" w:leader="none"/>
        </w:tabs>
        <w:spacing w:line="240" w:lineRule="auto" w:before="2" w:after="0"/>
        <w:ind w:left="1588" w:right="0" w:hanging="729"/>
        <w:jc w:val="both"/>
        <w:rPr>
          <w:color w:val="67676B"/>
          <w:sz w:val="23"/>
        </w:rPr>
        <w:bidi w:val="0"/>
      </w:pPr>
      <w:r>
        <w:rPr>
          <w:color w:val="67676B"/>
          <w:sz w:val="23"/>
          <w:lang w:val="es-us"/>
          <w:b w:val="0"/>
          <w:bCs w:val="0"/>
          <w:i w:val="0"/>
          <w:iCs w:val="0"/>
          <w:u w:val="none"/>
          <w:vertAlign w:val="baseline"/>
          <w:rtl w:val="0"/>
        </w:rPr>
        <w:t xml:space="preserve">¿Se abordará en la propuesta una necesidad identificada del centro regional?</w:t>
      </w:r>
    </w:p>
    <w:p>
      <w:pPr>
        <w:pStyle w:val="ListParagraph"/>
        <w:numPr>
          <w:ilvl w:val="1"/>
          <w:numId w:val="2"/>
        </w:numPr>
        <w:tabs>
          <w:tab w:pos="1589" w:val="left" w:leader="none"/>
        </w:tabs>
        <w:spacing w:line="244" w:lineRule="auto" w:before="15" w:after="0"/>
        <w:ind w:left="1580" w:right="151" w:hanging="729"/>
        <w:jc w:val="both"/>
        <w:rPr>
          <w:color w:val="67676B"/>
          <w:sz w:val="23"/>
        </w:rPr>
        <w:bidi w:val="0"/>
      </w:pPr>
      <w:r>
        <w:rPr>
          <w:color w:val="67676B"/>
          <w:sz w:val="23"/>
          <w:lang w:val="es-us"/>
          <w:b w:val="0"/>
          <w:bCs w:val="0"/>
          <w:i w:val="0"/>
          <w:iCs w:val="0"/>
          <w:u w:val="none"/>
          <w:vertAlign w:val="baseline"/>
          <w:rtl w:val="0"/>
        </w:rPr>
        <w:t xml:space="preserve">¿Garantizará la propuesta que el costo continuo de un servicio existente no aumentará o que el costo continuo de un programa nuevo es rentable en comparación con otros servicios típicos?</w:t>
      </w:r>
    </w:p>
    <w:p>
      <w:pPr>
        <w:pStyle w:val="ListParagraph"/>
        <w:numPr>
          <w:ilvl w:val="1"/>
          <w:numId w:val="2"/>
        </w:numPr>
        <w:tabs>
          <w:tab w:pos="1577" w:val="left" w:leader="none"/>
        </w:tabs>
        <w:spacing w:line="244" w:lineRule="auto" w:before="18" w:after="0"/>
        <w:ind w:left="1580" w:right="154" w:hanging="729"/>
        <w:jc w:val="both"/>
        <w:rPr>
          <w:color w:val="67676B"/>
          <w:sz w:val="23"/>
        </w:rPr>
        <w:bidi w:val="0"/>
      </w:pPr>
      <w:r>
        <w:rPr>
          <w:lang w:val="es-us"/>
          <w:b w:val="0"/>
          <w:bCs w:val="0"/>
          <w:i w:val="0"/>
          <w:iCs w:val="0"/>
          <w:u w:val="none"/>
          <w:vertAlign w:val="baseline"/>
          <w:rtl w:val="0"/>
        </w:rPr>
        <w:t xml:space="preserve">¿Es razonable el costo de la propuesta de la empresa emergente, no está incluido en las tarifas o los honorarios actuales y no se puede obtener de otra fuente de financiamiento?</w:t>
      </w:r>
    </w:p>
    <w:p>
      <w:pPr>
        <w:pStyle w:val="BodyText"/>
        <w:spacing w:before="2"/>
        <w:rPr>
          <w:sz w:val="24"/>
        </w:rPr>
      </w:pPr>
    </w:p>
    <w:p>
      <w:pPr>
        <w:pStyle w:val="ListParagraph"/>
        <w:numPr>
          <w:ilvl w:val="0"/>
          <w:numId w:val="2"/>
        </w:numPr>
        <w:tabs>
          <w:tab w:pos="855" w:val="left" w:leader="none"/>
          <w:tab w:pos="856" w:val="left" w:leader="none"/>
        </w:tabs>
        <w:spacing w:line="240" w:lineRule="auto" w:before="1" w:after="0"/>
        <w:ind w:left="855" w:right="0" w:hanging="740"/>
        <w:jc w:val="left"/>
        <w:rPr>
          <w:b/>
          <w:color w:val="67676B"/>
          <w:sz w:val="23"/>
        </w:rPr>
        <w:bidi w:val="0"/>
      </w:pPr>
      <w:r>
        <w:rPr>
          <w:color w:val="67676B"/>
          <w:sz w:val="24"/>
          <w:lang w:val="es-us"/>
          <w:b w:val="1"/>
          <w:bCs w:val="1"/>
          <w:i w:val="0"/>
          <w:iCs w:val="0"/>
          <w:u w:val="none"/>
          <w:vertAlign w:val="baseline"/>
          <w:rtl w:val="0"/>
        </w:rPr>
        <w:t xml:space="preserve">Registro de archivos:</w:t>
      </w:r>
    </w:p>
    <w:p>
      <w:pPr>
        <w:pStyle w:val="BodyText"/>
        <w:spacing w:before="5"/>
        <w:rPr>
          <w:b/>
          <w:sz w:val="24"/>
        </w:rPr>
      </w:pPr>
    </w:p>
    <w:p>
      <w:pPr>
        <w:pStyle w:val="ListParagraph"/>
        <w:numPr>
          <w:ilvl w:val="1"/>
          <w:numId w:val="2"/>
        </w:numPr>
        <w:tabs>
          <w:tab w:pos="1591" w:val="left" w:leader="none"/>
        </w:tabs>
        <w:spacing w:line="249" w:lineRule="auto" w:before="1" w:after="0"/>
        <w:ind w:left="1580" w:right="133" w:hanging="729"/>
        <w:jc w:val="both"/>
        <w:rPr>
          <w:color w:val="67676B"/>
          <w:sz w:val="23"/>
        </w:rPr>
        <w:bidi w:val="0"/>
      </w:pPr>
      <w:r>
        <w:rPr>
          <w:lang w:val="es-us"/>
          <w:b w:val="0"/>
          <w:bCs w:val="0"/>
          <w:i w:val="0"/>
          <w:iCs w:val="0"/>
          <w:u w:val="none"/>
          <w:vertAlign w:val="baseline"/>
          <w:rtl w:val="0"/>
        </w:rPr>
        <w:t xml:space="preserve">Todas las adjudicaciones de fondos para empresas emergentes serán regidas por un contrato/acuerdo escrito entre WRC y el proveedor. Todos los contratos de financiamiento de 250.000 USD o más deben estar aprobados por la Junta Directiva de WRC.</w:t>
      </w:r>
    </w:p>
    <w:p>
      <w:pPr>
        <w:pStyle w:val="ListParagraph"/>
        <w:numPr>
          <w:ilvl w:val="1"/>
          <w:numId w:val="2"/>
        </w:numPr>
        <w:tabs>
          <w:tab w:pos="1581" w:val="left" w:leader="none"/>
        </w:tabs>
        <w:spacing w:line="240" w:lineRule="auto" w:before="2" w:after="0"/>
        <w:ind w:left="1580" w:right="0" w:hanging="711"/>
        <w:jc w:val="both"/>
        <w:rPr>
          <w:color w:val="67676B"/>
          <w:sz w:val="23"/>
        </w:rPr>
        <w:bidi w:val="0"/>
      </w:pPr>
      <w:r>
        <w:rPr>
          <w:lang w:val="es-us"/>
          <w:b w:val="0"/>
          <w:bCs w:val="0"/>
          <w:i w:val="0"/>
          <w:iCs w:val="0"/>
          <w:u w:val="none"/>
          <w:vertAlign w:val="baseline"/>
          <w:rtl w:val="0"/>
        </w:rPr>
        <w:t xml:space="preserve">Los acuerdos pueden basarse en el rendimiento o pagarse mediante reembolso de costos.</w:t>
      </w:r>
    </w:p>
    <w:p>
      <w:pPr>
        <w:pStyle w:val="ListParagraph"/>
        <w:numPr>
          <w:ilvl w:val="1"/>
          <w:numId w:val="2"/>
        </w:numPr>
        <w:tabs>
          <w:tab w:pos="1591" w:val="left" w:leader="none"/>
        </w:tabs>
        <w:spacing w:line="242" w:lineRule="auto" w:before="5" w:after="0"/>
        <w:ind w:left="1584" w:right="154" w:hanging="733"/>
        <w:jc w:val="both"/>
        <w:rPr>
          <w:color w:val="67676B"/>
          <w:sz w:val="23"/>
        </w:rPr>
        <w:bidi w:val="0"/>
      </w:pPr>
      <w:r>
        <w:rPr>
          <w:lang w:val="es-us"/>
          <w:b w:val="0"/>
          <w:bCs w:val="0"/>
          <w:i w:val="0"/>
          <w:iCs w:val="0"/>
          <w:u w:val="none"/>
          <w:vertAlign w:val="baseline"/>
          <w:rtl w:val="0"/>
        </w:rPr>
        <w:t xml:space="preserve">Los acuerdos para proyectos incluirán una disposición de devolución si no se completan y existen circunstancias que requieran una devolución.</w:t>
      </w:r>
    </w:p>
    <w:p>
      <w:pPr>
        <w:pStyle w:val="ListParagraph"/>
        <w:numPr>
          <w:ilvl w:val="1"/>
          <w:numId w:val="2"/>
        </w:numPr>
        <w:tabs>
          <w:tab w:pos="1591" w:val="left" w:leader="none"/>
        </w:tabs>
        <w:spacing w:line="254" w:lineRule="auto" w:before="12" w:after="0"/>
        <w:ind w:left="1580" w:right="152" w:hanging="729"/>
        <w:jc w:val="both"/>
        <w:rPr>
          <w:color w:val="67676B"/>
          <w:sz w:val="23"/>
        </w:rPr>
        <w:bidi w:val="0"/>
      </w:pPr>
      <w:r>
        <w:rPr>
          <w:color w:val="67676B"/>
          <w:sz w:val="23"/>
          <w:lang w:val="es-us"/>
          <w:b w:val="0"/>
          <w:bCs w:val="0"/>
          <w:i w:val="0"/>
          <w:iCs w:val="0"/>
          <w:u w:val="none"/>
          <w:vertAlign w:val="baseline"/>
          <w:rtl w:val="0"/>
        </w:rPr>
        <w:t xml:space="preserve">Los acuerdos incluirán las bases del acuerdo de pago y cumplirán con todos los requisitos de contratos del centro regional, incluidas las disposiciones de las Secciones 50601 y siguientes del Título 17 de Rendición de cuentas de proveedores de servicios.</w:t>
      </w:r>
    </w:p>
    <w:p>
      <w:pPr>
        <w:pStyle w:val="ListParagraph"/>
        <w:numPr>
          <w:ilvl w:val="1"/>
          <w:numId w:val="2"/>
        </w:numPr>
        <w:tabs>
          <w:tab w:pos="1579" w:val="left" w:leader="none"/>
        </w:tabs>
        <w:spacing w:line="244" w:lineRule="auto" w:before="0" w:after="0"/>
        <w:ind w:left="1583" w:right="164" w:hanging="733"/>
        <w:jc w:val="both"/>
        <w:rPr>
          <w:color w:val="67676B"/>
          <w:sz w:val="23"/>
        </w:rPr>
        <w:bidi w:val="0"/>
      </w:pPr>
      <w:r>
        <w:rPr>
          <w:color w:val="67676B"/>
          <w:sz w:val="23"/>
          <w:lang w:val="es-us"/>
          <w:b w:val="0"/>
          <w:bCs w:val="0"/>
          <w:i w:val="0"/>
          <w:iCs w:val="0"/>
          <w:u w:val="none"/>
          <w:vertAlign w:val="baseline"/>
          <w:rtl w:val="0"/>
        </w:rPr>
        <w:t xml:space="preserve">Los acuerdos de desarrollo que utilicen fondos de POS deberán tener asignado un número de proveedor y un subcódigo según lo indicado por el DDS.</w:t>
      </w:r>
    </w:p>
    <w:p>
      <w:pPr>
        <w:pStyle w:val="ListParagraph"/>
        <w:numPr>
          <w:ilvl w:val="1"/>
          <w:numId w:val="2"/>
        </w:numPr>
        <w:tabs>
          <w:tab w:pos="1584" w:val="left" w:leader="none"/>
        </w:tabs>
        <w:spacing w:line="254" w:lineRule="auto" w:before="5" w:after="0"/>
        <w:ind w:left="1580" w:right="168" w:hanging="730"/>
        <w:jc w:val="both"/>
        <w:rPr>
          <w:color w:val="77757B"/>
          <w:sz w:val="23"/>
        </w:rPr>
        <w:bidi w:val="0"/>
      </w:pPr>
      <w:r>
        <w:rPr>
          <w:color w:val="67676B"/>
          <w:sz w:val="23"/>
          <w:lang w:val="es-us"/>
          <w:b w:val="0"/>
          <w:bCs w:val="0"/>
          <w:i w:val="0"/>
          <w:iCs w:val="0"/>
          <w:u w:val="none"/>
          <w:vertAlign w:val="baseline"/>
          <w:rtl w:val="0"/>
        </w:rPr>
        <w:t xml:space="preserve">Los acuerdos originales se archivarán con los archivos del proveedor en el departamento de servicios comunitarios del centro y se enviará una copia al departamento de contabilidad.</w:t>
      </w:r>
    </w:p>
    <w:p>
      <w:pPr>
        <w:pStyle w:val="ListParagraph"/>
        <w:numPr>
          <w:ilvl w:val="1"/>
          <w:numId w:val="2"/>
        </w:numPr>
        <w:tabs>
          <w:tab w:pos="1579" w:val="left" w:leader="none"/>
        </w:tabs>
        <w:spacing w:line="249" w:lineRule="auto" w:before="0" w:after="0"/>
        <w:ind w:left="1584" w:right="158" w:hanging="732"/>
        <w:jc w:val="both"/>
        <w:rPr>
          <w:color w:val="77757B"/>
          <w:sz w:val="23"/>
        </w:rPr>
        <w:bidi w:val="0"/>
      </w:pPr>
      <w:r>
        <w:rPr>
          <w:color w:val="67676B"/>
          <w:sz w:val="23"/>
          <w:lang w:val="es-us"/>
          <w:b w:val="0"/>
          <w:bCs w:val="0"/>
          <w:i w:val="0"/>
          <w:iCs w:val="0"/>
          <w:u w:val="none"/>
          <w:vertAlign w:val="baseline"/>
          <w:rtl w:val="0"/>
        </w:rPr>
        <w:t xml:space="preserve">Las facturaciones del proveedor basadas en los objetivos de rendimiento serán revisadas y aprobadas por el Departamento de Servicios Comunitarios de WRC antes de enviarse al departamento de contabilidad.</w:t>
      </w:r>
    </w:p>
    <w:p>
      <w:pPr>
        <w:pStyle w:val="ListParagraph"/>
        <w:numPr>
          <w:ilvl w:val="1"/>
          <w:numId w:val="2"/>
        </w:numPr>
        <w:tabs>
          <w:tab w:pos="1579" w:val="left" w:leader="none"/>
        </w:tabs>
        <w:spacing w:line="249" w:lineRule="auto" w:before="0" w:after="0"/>
        <w:ind w:left="1574" w:right="159" w:hanging="726"/>
        <w:jc w:val="both"/>
        <w:rPr>
          <w:color w:val="67676B"/>
          <w:sz w:val="23"/>
        </w:rPr>
        <w:bidi w:val="0"/>
      </w:pPr>
      <w:r>
        <w:rPr>
          <w:color w:val="67676B"/>
          <w:sz w:val="23"/>
          <w:lang w:val="es-us"/>
          <w:b w:val="0"/>
          <w:bCs w:val="0"/>
          <w:i w:val="0"/>
          <w:iCs w:val="0"/>
          <w:u w:val="none"/>
          <w:vertAlign w:val="baseline"/>
          <w:rtl w:val="0"/>
        </w:rPr>
        <w:t xml:space="preserve">Las facturaciones del proveedor basadas en el reembolso de costos serán revisadas por el supervisor fiscal del departamento de contabilidad para corroborar el cumplimiento de las disposiciones de pago del acuerdo antes del desembolso.</w:t>
      </w:r>
    </w:p>
    <w:p>
      <w:pPr>
        <w:pStyle w:val="BodyText"/>
        <w:rPr>
          <w:sz w:val="26"/>
        </w:rPr>
      </w:pPr>
    </w:p>
    <w:p>
      <w:pPr>
        <w:pStyle w:val="BodyText"/>
        <w:spacing w:before="11"/>
        <w:rPr>
          <w:sz w:val="21"/>
        </w:rPr>
      </w:pPr>
    </w:p>
    <w:p>
      <w:pPr>
        <w:pStyle w:val="BodyText"/>
        <w:ind w:left="126"/>
        <w:bidi w:val="0"/>
      </w:pPr>
      <w:r>
        <w:rPr>
          <w:lang w:val="es-us"/>
          <w:b w:val="0"/>
          <w:bCs w:val="0"/>
          <w:i w:val="0"/>
          <w:iCs w:val="0"/>
          <w:u w:val="none"/>
          <w:vertAlign w:val="baseline"/>
          <w:rtl w:val="0"/>
        </w:rPr>
        <w:t xml:space="preserve">Aprobado por:</w:t>
      </w:r>
    </w:p>
    <w:p>
      <w:pPr>
        <w:pStyle w:val="BodyText"/>
        <w:rPr>
          <w:sz w:val="20"/>
        </w:rPr>
      </w:pPr>
    </w:p>
    <w:p>
      <w:pPr>
        <w:pStyle w:val="BodyText"/>
        <w:spacing w:before="5"/>
        <w:rPr>
          <w:sz w:val="15"/>
        </w:rPr>
        <w:bidi w:val="0"/>
      </w:pPr>
      <w:r>
        <w:rPr>
          <w:lang w:val="es-us"/>
          <w:b w:val="0"/>
          <w:bCs w:val="0"/>
          <w:i w:val="0"/>
          <w:iCs w:val="0"/>
          <w:u w:val="none"/>
          <w:vertAlign w:val="baseline"/>
          <w:rtl w:val="0"/>
        </w:rPr>
        <w:pict>
          <v:group style="position:absolute;margin-left:305.756165pt;margin-top:10.078821pt;width:176.75pt;height:20pt;mso-position-horizontal-relative:page;mso-position-vertical-relative:paragraph;z-index:-15728640;mso-wrap-distance-left:0;mso-wrap-distance-right:0" id="docshapegroup2" coordorigin="6115,202" coordsize="3535,400">
            <v:shape style="position:absolute;left:6519;top:201;width:1753;height:385" type="#_x0000_t75" id="docshape3" stroked="false">
              <v:imagedata r:id="rId7" o:title=""/>
            </v:shape>
            <v:line style="position:absolute" from="6115,596" to="9649,596" stroked="true" strokeweight=".481164pt" strokecolor="#000000">
              <v:stroke dashstyle="solid"/>
            </v:line>
            <w10:wrap type="topAndBottom"/>
          </v:group>
        </w:pict>
      </w:r>
    </w:p>
    <w:p>
      <w:pPr>
        <w:spacing w:before="11"/>
        <w:ind w:left="1750" w:right="1149" w:firstLine="0"/>
        <w:jc w:val="center"/>
        <w:rPr>
          <w:b/>
          <w:sz w:val="24"/>
        </w:rPr>
        <w:bidi w:val="0"/>
      </w:pPr>
      <w:r>
        <w:rPr>
          <w:lang w:val="es-us"/>
          <w:b w:val="1"/>
          <w:bCs w:val="1"/>
          <w:i w:val="0"/>
          <w:iCs w:val="0"/>
          <w:u w:val="none"/>
          <w:vertAlign w:val="baseline"/>
          <w:rtl w:val="0"/>
        </w:rPr>
        <w:t xml:space="preserve">Fecha</w:t>
      </w:r>
    </w:p>
    <w:sectPr>
      <w:pgSz w:w="12240" w:h="15840"/>
      <w:pgMar w:header="0" w:footer="1757" w:top="1040" w:bottom="1940" w:left="96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bidi w:val="0"/>
    </w:pPr>
    <w:r>
      <w:rPr>
        <w:lang w:val="es-us"/>
        <w:b w:val="0"/>
        <w:bCs w:val="0"/>
        <w:i w:val="0"/>
        <w:iCs w:val="0"/>
        <w:u w:val="none"/>
        <w:vertAlign w:val="baseline"/>
        <w:rtl w:val="0"/>
      </w:rPr>
      <w:pict>
        <v:shapetype id="_x0000_t202" o:spt="202" coordsize="21600,21600" path="m,l,21600r21600,l21600,xe">
          <v:stroke joinstyle="miter"/>
          <v:path gradientshapeok="t" o:connecttype="rect"/>
        </v:shapetype>
        <v:shape style="position:absolute;margin-left:53.237122pt;margin-top:693.155579pt;width:140pt;height:42.2pt;mso-position-horizontal-relative:page;mso-position-vertical-relative:page;z-index:-15778304" type="#_x0000_t202" id="docshape1" filled="false" stroked="false">
          <v:textbox inset="0,0,0,0">
            <w:txbxContent>
              <w:p>
                <w:pPr>
                  <w:pStyle w:val="BodyText"/>
                  <w:spacing w:line="244" w:lineRule="auto" w:before="10"/>
                  <w:ind w:left="23" w:right="18" w:firstLine="6"/>
                  <w:bidi w:val="0"/>
                </w:pPr>
                <w:r>
                  <w:rPr>
                    <w:lang w:val="es-us"/>
                    <w:b w:val="0"/>
                    <w:bCs w:val="0"/>
                    <w:i w:val="0"/>
                    <w:iCs w:val="0"/>
                    <w:u w:val="none"/>
                    <w:vertAlign w:val="baseline"/>
                    <w:rtl w:val="0"/>
                  </w:rPr>
                  <w:t xml:space="preserve">Proceso de RFP de WRC para empresas emergentes 3-5-13</w:t>
                </w:r>
              </w:p>
              <w:p>
                <w:pPr>
                  <w:pStyle w:val="BodyText"/>
                  <w:spacing w:before="9"/>
                  <w:ind w:left="20"/>
                  <w:bidi w:val="0"/>
                </w:pPr>
                <w:r>
                  <w:rPr>
                    <w:color w:val="67676B"/>
                    <w:lang w:val="es-us"/>
                    <w:b w:val="0"/>
                    <w:bCs w:val="0"/>
                    <w:i w:val="0"/>
                    <w:iCs w:val="0"/>
                    <w:u w:val="none"/>
                    <w:vertAlign w:val="baseline"/>
                    <w:rtl w:val="0"/>
                  </w:rPr>
                  <w:t xml:space="preserve">MLWS</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4"/>
      <w:numFmt w:val="upperRoman"/>
      <w:lvlText w:val="%1."/>
      <w:lvlJc w:val="left"/>
      <w:pPr>
        <w:ind w:left="873" w:hanging="741"/>
        <w:jc w:val="left"/>
      </w:pPr>
      <w:rPr>
        <w:rFonts w:hint="default"/>
        <w:spacing w:val="-1"/>
        <w:w w:val="106"/>
        <w:lang w:val="en-US" w:eastAsia="en-US" w:bidi="ar-SA"/>
      </w:rPr>
    </w:lvl>
    <w:lvl w:ilvl="1">
      <w:start w:val="1"/>
      <w:numFmt w:val="lowerLetter"/>
      <w:lvlText w:val="%2."/>
      <w:lvlJc w:val="left"/>
      <w:pPr>
        <w:ind w:left="1580" w:hanging="739"/>
        <w:jc w:val="left"/>
      </w:pPr>
      <w:rPr>
        <w:rFonts w:hint="default"/>
        <w:spacing w:val="-1"/>
        <w:w w:val="103"/>
        <w:lang w:val="en-US" w:eastAsia="en-US" w:bidi="ar-SA"/>
      </w:rPr>
    </w:lvl>
    <w:lvl w:ilvl="2">
      <w:start w:val="0"/>
      <w:numFmt w:val="bullet"/>
      <w:lvlText w:val="•"/>
      <w:lvlJc w:val="left"/>
      <w:pPr>
        <w:ind w:left="1600" w:hanging="739"/>
      </w:pPr>
      <w:rPr>
        <w:rFonts w:hint="default"/>
        <w:lang w:val="en-US" w:eastAsia="en-US" w:bidi="ar-SA"/>
      </w:rPr>
    </w:lvl>
    <w:lvl w:ilvl="3">
      <w:start w:val="0"/>
      <w:numFmt w:val="bullet"/>
      <w:lvlText w:val="•"/>
      <w:lvlJc w:val="left"/>
      <w:pPr>
        <w:ind w:left="2692" w:hanging="739"/>
      </w:pPr>
      <w:rPr>
        <w:rFonts w:hint="default"/>
        <w:lang w:val="en-US" w:eastAsia="en-US" w:bidi="ar-SA"/>
      </w:rPr>
    </w:lvl>
    <w:lvl w:ilvl="4">
      <w:start w:val="0"/>
      <w:numFmt w:val="bullet"/>
      <w:lvlText w:val="•"/>
      <w:lvlJc w:val="left"/>
      <w:pPr>
        <w:ind w:left="3785" w:hanging="739"/>
      </w:pPr>
      <w:rPr>
        <w:rFonts w:hint="default"/>
        <w:lang w:val="en-US" w:eastAsia="en-US" w:bidi="ar-SA"/>
      </w:rPr>
    </w:lvl>
    <w:lvl w:ilvl="5">
      <w:start w:val="0"/>
      <w:numFmt w:val="bullet"/>
      <w:lvlText w:val="•"/>
      <w:lvlJc w:val="left"/>
      <w:pPr>
        <w:ind w:left="4877" w:hanging="739"/>
      </w:pPr>
      <w:rPr>
        <w:rFonts w:hint="default"/>
        <w:lang w:val="en-US" w:eastAsia="en-US" w:bidi="ar-SA"/>
      </w:rPr>
    </w:lvl>
    <w:lvl w:ilvl="6">
      <w:start w:val="0"/>
      <w:numFmt w:val="bullet"/>
      <w:lvlText w:val="•"/>
      <w:lvlJc w:val="left"/>
      <w:pPr>
        <w:ind w:left="5970" w:hanging="739"/>
      </w:pPr>
      <w:rPr>
        <w:rFonts w:hint="default"/>
        <w:lang w:val="en-US" w:eastAsia="en-US" w:bidi="ar-SA"/>
      </w:rPr>
    </w:lvl>
    <w:lvl w:ilvl="7">
      <w:start w:val="0"/>
      <w:numFmt w:val="bullet"/>
      <w:lvlText w:val="•"/>
      <w:lvlJc w:val="left"/>
      <w:pPr>
        <w:ind w:left="7062" w:hanging="739"/>
      </w:pPr>
      <w:rPr>
        <w:rFonts w:hint="default"/>
        <w:lang w:val="en-US" w:eastAsia="en-US" w:bidi="ar-SA"/>
      </w:rPr>
    </w:lvl>
    <w:lvl w:ilvl="8">
      <w:start w:val="0"/>
      <w:numFmt w:val="bullet"/>
      <w:lvlText w:val="•"/>
      <w:lvlJc w:val="left"/>
      <w:pPr>
        <w:ind w:left="8155" w:hanging="739"/>
      </w:pPr>
      <w:rPr>
        <w:rFonts w:hint="default"/>
        <w:lang w:val="en-US" w:eastAsia="en-US" w:bidi="ar-SA"/>
      </w:rPr>
    </w:lvl>
  </w:abstractNum>
  <w:abstractNum w:abstractNumId="0">
    <w:multiLevelType w:val="hybridMultilevel"/>
    <w:lvl w:ilvl="0">
      <w:start w:val="1"/>
      <w:numFmt w:val="upperRoman"/>
      <w:lvlText w:val="%1."/>
      <w:lvlJc w:val="left"/>
      <w:pPr>
        <w:ind w:left="864" w:hanging="733"/>
        <w:jc w:val="left"/>
      </w:pPr>
      <w:rPr>
        <w:rFonts w:hint="default"/>
        <w:spacing w:val="-1"/>
        <w:w w:val="105"/>
        <w:lang w:val="en-US" w:eastAsia="en-US" w:bidi="ar-SA"/>
      </w:rPr>
    </w:lvl>
    <w:lvl w:ilvl="1">
      <w:start w:val="1"/>
      <w:numFmt w:val="lowerLetter"/>
      <w:lvlText w:val="%2."/>
      <w:lvlJc w:val="left"/>
      <w:pPr>
        <w:ind w:left="1592" w:hanging="724"/>
        <w:jc w:val="left"/>
      </w:pPr>
      <w:rPr>
        <w:rFonts w:hint="default"/>
        <w:spacing w:val="-1"/>
        <w:w w:val="101"/>
        <w:lang w:val="en-US" w:eastAsia="en-US" w:bidi="ar-SA"/>
      </w:rPr>
    </w:lvl>
    <w:lvl w:ilvl="2">
      <w:start w:val="0"/>
      <w:numFmt w:val="bullet"/>
      <w:lvlText w:val="•"/>
      <w:lvlJc w:val="left"/>
      <w:pPr>
        <w:ind w:left="2571" w:hanging="724"/>
      </w:pPr>
      <w:rPr>
        <w:rFonts w:hint="default"/>
        <w:lang w:val="en-US" w:eastAsia="en-US" w:bidi="ar-SA"/>
      </w:rPr>
    </w:lvl>
    <w:lvl w:ilvl="3">
      <w:start w:val="0"/>
      <w:numFmt w:val="bullet"/>
      <w:lvlText w:val="•"/>
      <w:lvlJc w:val="left"/>
      <w:pPr>
        <w:ind w:left="3542" w:hanging="724"/>
      </w:pPr>
      <w:rPr>
        <w:rFonts w:hint="default"/>
        <w:lang w:val="en-US" w:eastAsia="en-US" w:bidi="ar-SA"/>
      </w:rPr>
    </w:lvl>
    <w:lvl w:ilvl="4">
      <w:start w:val="0"/>
      <w:numFmt w:val="bullet"/>
      <w:lvlText w:val="•"/>
      <w:lvlJc w:val="left"/>
      <w:pPr>
        <w:ind w:left="4513" w:hanging="724"/>
      </w:pPr>
      <w:rPr>
        <w:rFonts w:hint="default"/>
        <w:lang w:val="en-US" w:eastAsia="en-US" w:bidi="ar-SA"/>
      </w:rPr>
    </w:lvl>
    <w:lvl w:ilvl="5">
      <w:start w:val="0"/>
      <w:numFmt w:val="bullet"/>
      <w:lvlText w:val="•"/>
      <w:lvlJc w:val="left"/>
      <w:pPr>
        <w:ind w:left="5484" w:hanging="724"/>
      </w:pPr>
      <w:rPr>
        <w:rFonts w:hint="default"/>
        <w:lang w:val="en-US" w:eastAsia="en-US" w:bidi="ar-SA"/>
      </w:rPr>
    </w:lvl>
    <w:lvl w:ilvl="6">
      <w:start w:val="0"/>
      <w:numFmt w:val="bullet"/>
      <w:lvlText w:val="•"/>
      <w:lvlJc w:val="left"/>
      <w:pPr>
        <w:ind w:left="6455" w:hanging="724"/>
      </w:pPr>
      <w:rPr>
        <w:rFonts w:hint="default"/>
        <w:lang w:val="en-US" w:eastAsia="en-US" w:bidi="ar-SA"/>
      </w:rPr>
    </w:lvl>
    <w:lvl w:ilvl="7">
      <w:start w:val="0"/>
      <w:numFmt w:val="bullet"/>
      <w:lvlText w:val="•"/>
      <w:lvlJc w:val="left"/>
      <w:pPr>
        <w:ind w:left="7426" w:hanging="724"/>
      </w:pPr>
      <w:rPr>
        <w:rFonts w:hint="default"/>
        <w:lang w:val="en-US" w:eastAsia="en-US" w:bidi="ar-SA"/>
      </w:rPr>
    </w:lvl>
    <w:lvl w:ilvl="8">
      <w:start w:val="0"/>
      <w:numFmt w:val="bullet"/>
      <w:lvlText w:val="•"/>
      <w:lvlJc w:val="left"/>
      <w:pPr>
        <w:ind w:left="8397" w:hanging="72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ListParagraph" w:type="paragraph">
    <w:name w:val="List Paragraph"/>
    <w:basedOn w:val="Normal"/>
    <w:uiPriority w:val="1"/>
    <w:qFormat/>
    <w:pPr>
      <w:ind w:left="1580" w:hanging="72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footer" Target="footer1.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kerwindp</dc:creator>
  <dc:title>Full page fax print</dc:title>
  <dcterms:created xsi:type="dcterms:W3CDTF">2023-04-26T17:09:12Z</dcterms:created>
  <dcterms:modified xsi:type="dcterms:W3CDTF">2023-04-26T17:09:12Z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2013-03-07T00:00:00Z</vt:filetime>
  </property>
  <property fmtid="{D5CDD505-2E9C-101B-9397-08002B2CF9AE}" pid="3" name="Creator">
    <vt:lpwstr>PScript5.dll Version 5.2</vt:lpwstr>
  </property>
  <property fmtid="{D5CDD505-2E9C-101B-9397-08002B2CF9AE}" pid="4" name="LastSaved">
    <vt:filetime>2023-04-26T00:00:00Z</vt:filetime>
  </property>
  <property fmtid="{D5CDD505-2E9C-101B-9397-08002B2CF9AE}" pid="5" name="Producer">
    <vt:lpwstr>Acrobat Distiller 5.0.5 (Windows)</vt:lpwstr>
  </property>
</Properties>
</file>